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nsolas" w:hAnsi="Consolas"/>
          <w:b/>
          <w:i w:val="0"/>
          <w:color w:val="1B4486"/>
          <w:sz w:val="18"/>
        </w:rPr>
        <w:t>PLANTILLA CFOˣ · CIERRE · № 09</w:t>
      </w:r>
    </w:p>
    <w:p>
      <w:r>
        <w:rPr>
          <w:rFonts w:ascii="Georgia" w:hAnsi="Georgia"/>
          <w:b/>
          <w:i w:val="0"/>
          <w:color w:val="1B4486"/>
          <w:sz w:val="64"/>
        </w:rPr>
        <w:t>Checklist de cierre mensual</w:t>
      </w:r>
    </w:p>
    <w:p>
      <w:r>
        <w:rPr>
          <w:rFonts w:ascii="Georgia" w:hAnsi="Georgia"/>
          <w:b w:val="0"/>
          <w:i/>
          <w:color w:val="6B7280"/>
          <w:sz w:val="24"/>
        </w:rPr>
        <w:t>10 días hábiles · 31 tareas · destilado del caso № 09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112"/>
            <w:shd w:val="clear" w:color="auto" w:fill="F9FAFB"/>
            <w:tcBorders>
              <w:left w:val="single" w:sz="48" w:color="C04A2E"/>
            </w:tcBorders>
          </w:tcPr>
          <w:p>
            <w:r/>
          </w:p>
          <w:p>
            <w:r>
              <w:rPr>
                <w:rFonts w:ascii="Consolas" w:hAnsi="Consolas"/>
                <w:b/>
                <w:i w:val="0"/>
                <w:color w:val="1B4486"/>
                <w:sz w:val="18"/>
              </w:rPr>
              <w:t>DECISIÓN DOCUMENTADA</w:t>
            </w:r>
          </w:p>
          <w:p>
            <w:r>
              <w:rPr>
                <w:rFonts w:ascii="Georgia" w:hAnsi="Georgia"/>
                <w:b/>
                <w:i w:val="0"/>
                <w:color w:val="0F172A"/>
                <w:sz w:val="64"/>
              </w:rPr>
              <w:t>T+12 → T+5</w:t>
            </w:r>
          </w:p>
          <w:p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Días hábiles de cierre tras implementar el checklist. Mismo equipo, mismo perímetro contable.</w:t>
            </w:r>
          </w:p>
        </w:tc>
        <w:tc>
          <w:tcPr>
            <w:tcW w:type="dxa" w:w="5112"/>
            <w:shd w:val="clear" w:color="auto" w:fill="1B4486"/>
            <w:tcBorders>
              <w:left w:val="single" w:sz="48" w:color="C04A2E"/>
            </w:tcBorders>
          </w:tcPr>
          <w:p>
            <w:r/>
          </w:p>
          <w:p>
            <w:r>
              <w:rPr>
                <w:rFonts w:ascii="Consolas" w:hAnsi="Consolas"/>
                <w:b/>
                <w:i w:val="0"/>
                <w:color w:val="FFFFFF"/>
                <w:sz w:val="18"/>
              </w:rPr>
              <w:t>CASO FUENTE</w:t>
            </w:r>
          </w:p>
          <w:p>
            <w:r>
              <w:rPr>
                <w:rFonts w:ascii="Georgia" w:hAnsi="Georgia"/>
                <w:b/>
                <w:i w:val="0"/>
                <w:color w:val="FFFFFF"/>
                <w:sz w:val="28"/>
              </w:rPr>
              <w:t>№ 9 · Subsidiaria · México</w:t>
            </w:r>
          </w:p>
          <w:p>
            <w:r>
              <w:rPr>
                <w:rFonts w:ascii="Consolas" w:hAnsi="Consolas"/>
                <w:b w:val="0"/>
                <w:i w:val="0"/>
                <w:color w:val="CCCCCC"/>
                <w:sz w:val="18"/>
              </w:rPr>
              <w:t>Subsidiaria de multinacional · 10-person finance team</w:t>
            </w:r>
          </w:p>
          <w:p>
            <w:r>
              <w:rPr>
                <w:rFonts w:ascii="Arial" w:hAnsi="Arial"/>
                <w:b w:val="0"/>
                <w:i w:val="0"/>
                <w:color w:val="FFFFFF"/>
                <w:sz w:val="18"/>
              </w:rPr>
              <w:t>Cerraba en 12 días hábiles. Tras tres ciclos con esta metodología, bajó a 5 días. 84 días/año de capacidad recuperada. Caso en cfoexponencial.com/archivo/caso-09.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18"/>
        </w:rPr>
        <w:t>CÓMO USAR ESTE CHECKLIST</w:t>
      </w:r>
    </w:p>
    <w:p>
      <w:r>
        <w:rPr>
          <w:rFonts w:ascii="Arial" w:hAnsi="Arial"/>
          <w:b w:val="0"/>
          <w:i w:val="0"/>
          <w:color w:val="0F172A"/>
          <w:sz w:val="20"/>
        </w:rPr>
        <w:t>Cada día tiene 3-4 tareas con owner explícito y nota de qué hacer. Imprimí esta hoja y marcala con bolígrafo a medida que avanza el cierre. Cualquier task no completada al final del día NO se mueve al siguiente — se escala. El objetivo es disciplina, no flexibilidad.</w:t>
      </w:r>
    </w:p>
    <w:p>
      <w:r>
        <w:br w:type="page"/>
      </w:r>
    </w:p>
    <w:p>
      <w:r>
        <w:rPr>
          <w:rFonts w:ascii="Consolas" w:hAnsi="Consolas"/>
          <w:b/>
          <w:i w:val="0"/>
          <w:color w:val="1B4486"/>
          <w:sz w:val="20"/>
        </w:rPr>
        <w:t>DÍA 1 · T+1</w:t>
      </w:r>
    </w:p>
    <w:p>
      <w:r>
        <w:rPr>
          <w:rFonts w:ascii="Georgia" w:hAnsi="Georgia"/>
          <w:b/>
          <w:i w:val="0"/>
          <w:color w:val="0F172A"/>
          <w:sz w:val="32"/>
        </w:rPr>
        <w:t>Bookkeeping y reconciliaciones iniciales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Cierre del libro diario del mes anterior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Contador General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Sistema contable cerrado, no se aceptan más entradas con fecha del mes que cierra.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Reconciliación de cajas chicas y efectivo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Tesorería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Conteo físico vs registros; documentar discrepancias &gt; $5K MXN.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Reconciliación bancos (todas las cuentas)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Tesorería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Saldo bancario al cierre vs ledger. SAB-09 si aplica.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2 · T+2</w:t>
      </w:r>
    </w:p>
    <w:p>
      <w:r>
        <w:rPr>
          <w:rFonts w:ascii="Georgia" w:hAnsi="Georgia"/>
          <w:b/>
          <w:i w:val="0"/>
          <w:color w:val="0F172A"/>
          <w:sz w:val="32"/>
        </w:rPr>
        <w:t>AR aging y revenue recognition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Pull AR aging report desde CRM/ERP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Top 20 cuentas vencidas para deep-dive.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Análisis de cobranza del mes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FP&amp;A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vs forecast; explica gap &gt; 5%.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Provisión cuentas incobrables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Política: 50% si &gt; 90 días, 100% si &gt; 180 días.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Revenue recognition por contrato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 + Auditor interno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ASC 606 / IFRS 15: PoC, deferred, recurring. Ver método.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3 · T+3</w:t>
      </w:r>
    </w:p>
    <w:p>
      <w:r>
        <w:rPr>
          <w:rFonts w:ascii="Georgia" w:hAnsi="Georgia"/>
          <w:b/>
          <w:i w:val="0"/>
          <w:color w:val="0F172A"/>
          <w:sz w:val="32"/>
        </w:rPr>
        <w:t>AP aging y accruals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Pull AP aging desde ERP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AP Specialist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Vencidos, próximos a vencer, en disputa.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Cut-off de proveedores (facturas no recibidas)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AP Specialist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Confirmar con compras / operaciones gastos del mes sin factura.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Accrual de gastos sin factura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Tabla con monto + fecha esperada de factura.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4 · T+4</w:t>
      </w:r>
    </w:p>
    <w:p>
      <w:r>
        <w:rPr>
          <w:rFonts w:ascii="Georgia" w:hAnsi="Georgia"/>
          <w:b/>
          <w:i w:val="0"/>
          <w:color w:val="0F172A"/>
          <w:sz w:val="32"/>
        </w:rPr>
        <w:t>Nómina e IMSS / INFONAVIT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Cierre de nómina del mes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RH + Tesorería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Incluye comisiones, bonos, vacaciones devengadas.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Calcular IMSS + INFONAVIT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Contador General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Pago al 17 del mes siguiente — anotar en flujo.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Provisión PTU + aguinaldo (pro-rateado)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Pro-rated mensualmente, no esperar fin de año.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5 · T+5</w:t>
      </w:r>
    </w:p>
    <w:p>
      <w:r>
        <w:rPr>
          <w:rFonts w:ascii="Georgia" w:hAnsi="Georgia"/>
          <w:b/>
          <w:i w:val="0"/>
          <w:color w:val="0F172A"/>
          <w:sz w:val="32"/>
        </w:rPr>
        <w:t>FX revaluation + intercompany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Revaluación FX al FIX vigente (Banxico)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Tesorería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USD, EUR, otras. FIX al último día hábil del mes.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Reconciliación intercompany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Saldos entre entidades deben matchear; documentar eliminaciones.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Settlement de IC pending &gt; 60 días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Tesorería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No dejes IC abierto &gt; 1 trimestre.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6 · T+6</w:t>
      </w:r>
    </w:p>
    <w:p>
      <w:r>
        <w:rPr>
          <w:rFonts w:ascii="Georgia" w:hAnsi="Georgia"/>
          <w:b/>
          <w:i w:val="0"/>
          <w:color w:val="0F172A"/>
          <w:sz w:val="32"/>
        </w:rPr>
        <w:t>GL review + ajustes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Review general ledger por cuenta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Variances vs presupuesto &gt; 10% o &gt; $50K MXN deben tener explicación documentada.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Journal entries de ajuste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Documentar JE de cierre con narrative y referencia a soporte.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Cierre de subcuentas (consolidación)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Mappings al COA principal, eliminaciones IC.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7 · T+7</w:t>
      </w:r>
    </w:p>
    <w:p>
      <w:r>
        <w:rPr>
          <w:rFonts w:ascii="Georgia" w:hAnsi="Georgia"/>
          <w:b/>
          <w:i w:val="0"/>
          <w:color w:val="0F172A"/>
          <w:sz w:val="32"/>
        </w:rPr>
        <w:t>Estados financieros — versión preliminar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Balance General + Estado de Resultados (draft)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FP&amp;A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Primera versión para review interno.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Flujo de efectivo (indirect method)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FP&amp;A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Cuadrar con caja al final.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Análisis vertical y horizontal vs mes anterior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FP&amp;A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Identificar moves grandes para narrative.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8 · T+8</w:t>
      </w:r>
    </w:p>
    <w:p>
      <w:r>
        <w:rPr>
          <w:rFonts w:ascii="Georgia" w:hAnsi="Georgia"/>
          <w:b/>
          <w:i w:val="0"/>
          <w:color w:val="0F172A"/>
          <w:sz w:val="32"/>
        </w:rPr>
        <w:t>Review CFO + ajustes finales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Review con CFO de los EEFF preliminares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CFO + FP&amp;A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Sesión formal de 90 min. Documentar issues.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Ajustes finales por feedback del CFO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JE adicionales si aplica.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Cierre definitivo del libro mayor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Contador General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No más cambios después de este punto.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9 · T+9</w:t>
      </w:r>
    </w:p>
    <w:p>
      <w:r>
        <w:rPr>
          <w:rFonts w:ascii="Georgia" w:hAnsi="Georgia"/>
          <w:b/>
          <w:i w:val="0"/>
          <w:color w:val="0F172A"/>
          <w:sz w:val="32"/>
        </w:rPr>
        <w:t>Reporting + impuestos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DIOT mensual al SAT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Contador General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Hasta el último día del mes siguiente. Penalty $5K-$20K MXN si tardío.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Provisión ISR + IVA del mes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Contador General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Para pago al 17 del mes siguiente.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Reporting a corporate (si subsidiaria)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Package estándar de la matriz. Formato específico.</w:t>
            </w:r>
          </w:p>
        </w:tc>
      </w:tr>
    </w:tbl>
    <w:p/>
    <w:p>
      <w:r>
        <w:rPr>
          <w:rFonts w:ascii="Consolas" w:hAnsi="Consolas"/>
          <w:b/>
          <w:i w:val="0"/>
          <w:color w:val="1B4486"/>
          <w:sz w:val="20"/>
        </w:rPr>
        <w:t>DÍA 10 · T+10</w:t>
      </w:r>
    </w:p>
    <w:p>
      <w:r>
        <w:rPr>
          <w:rFonts w:ascii="Georgia" w:hAnsi="Georgia"/>
          <w:b/>
          <w:i w:val="0"/>
          <w:color w:val="0F172A"/>
          <w:sz w:val="32"/>
        </w:rPr>
        <w:t>Board deck + lecciones aprendidas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"/>
        <w:gridCol w:w="4320"/>
        <w:gridCol w:w="2160"/>
        <w:gridCol w:w="2880"/>
      </w:tblGrid>
      <w:tr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☐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Tarea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Owner</w:t>
            </w:r>
          </w:p>
        </w:tc>
        <w:tc>
          <w:tcPr>
            <w:tcW w:type="dxa" w:w="2556"/>
            <w:shd w:val="clear" w:color="auto" w:fill="F3F4F6"/>
          </w:tcPr>
          <w:p>
            <w:r/>
            <w:r>
              <w:rPr>
                <w:rFonts w:ascii="Consolas" w:hAnsi="Consolas"/>
                <w:b/>
                <w:i w:val="0"/>
                <w:color w:val="6B7280"/>
                <w:sz w:val="18"/>
              </w:rPr>
              <w:t>Nota / criterio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Construir board deck del mes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FP&amp;A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KPIs + variances + outlook. Ver plantilla № 23.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Sesión de lecciones aprendidas del cierre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Todo el equipo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30 min. Qué se atrasó, qué se rompió, qué mejorar para el próximo.</w:t>
            </w:r>
          </w:p>
        </w:tc>
      </w:tr>
      <w:tr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0F172A"/>
                <w:sz w:val="22"/>
              </w:rPr>
              <w:t>☐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Archivar documentación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Controller</w:t>
            </w:r>
          </w:p>
        </w:tc>
        <w:tc>
          <w:tcPr>
            <w:tcW w:type="dxa" w:w="2556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18"/>
              </w:rPr>
              <w:t>Carpeta del mes con todos los JE, reconciliaciones, EEFF firmados.</w:t>
            </w:r>
          </w:p>
        </w:tc>
      </w:tr>
    </w:tbl>
    <w:p/>
    <w:p>
      <w:r>
        <w:br w:type="page"/>
      </w:r>
    </w:p>
    <w:p>
      <w:r>
        <w:rPr>
          <w:rFonts w:ascii="Consolas" w:hAnsi="Consolas"/>
          <w:b/>
          <w:i w:val="0"/>
          <w:color w:val="1B4486"/>
          <w:sz w:val="18"/>
        </w:rPr>
        <w:t>METODOLOGÍA · ERRORES COMUNES</w:t>
      </w:r>
    </w:p>
    <w:p>
      <w:r>
        <w:rPr>
          <w:rFonts w:ascii="Georgia" w:hAnsi="Georgia"/>
          <w:b/>
          <w:i w:val="0"/>
          <w:color w:val="0F172A"/>
          <w:sz w:val="44"/>
        </w:rPr>
        <w:t>Las ocho cosas que matan un cierre mensual</w:t>
      </w:r>
    </w:p>
    <w:p>
      <w:r>
        <w:rPr>
          <w:rFonts w:ascii="Georgia" w:hAnsi="Georgia"/>
          <w:b w:val="0"/>
          <w:i/>
          <w:color w:val="6B7280"/>
          <w:sz w:val="22"/>
        </w:rPr>
        <w:t>Compiladas de 23 cierres revisados en el archivo CFOˣ. Cada error cuesta entre 2 y 5 días de cierre.</w:t>
      </w:r>
    </w:p>
    <w:p/>
    <w:p>
      <w:r>
        <w:rPr>
          <w:rFonts w:ascii="Consolas" w:hAnsi="Consolas"/>
          <w:b/>
          <w:i w:val="0"/>
          <w:color w:val="1B4486"/>
          <w:sz w:val="18"/>
        </w:rPr>
        <w:t>ERROR 01</w:t>
      </w:r>
    </w:p>
    <w:p>
      <w:r>
        <w:rPr>
          <w:rFonts w:ascii="Georgia" w:hAnsi="Georgia"/>
          <w:b/>
          <w:i w:val="0"/>
          <w:color w:val="0F172A"/>
          <w:sz w:val="26"/>
        </w:rPr>
        <w:t>Cerrar antes de reconciliar bancos</w:t>
      </w:r>
    </w:p>
    <w:p>
      <w:r>
        <w:rPr>
          <w:rFonts w:ascii="Arial" w:hAnsi="Arial"/>
          <w:b w:val="0"/>
          <w:i w:val="0"/>
          <w:color w:val="0F172A"/>
          <w:sz w:val="20"/>
        </w:rPr>
        <w:t>Si las cajas no cuadran, el ledger miente. Y nadie atrapa nada después.</w:t>
      </w:r>
    </w:p>
    <w:p>
      <w:r>
        <w:rPr>
          <w:rFonts w:ascii="Arial" w:hAnsi="Arial"/>
          <w:b/>
          <w:i/>
          <w:color w:val="C04A2E"/>
          <w:sz w:val="20"/>
        </w:rPr>
        <w:t xml:space="preserve">Fix: </w:t>
      </w:r>
      <w:r>
        <w:rPr>
          <w:rFonts w:ascii="Arial" w:hAnsi="Arial"/>
          <w:b w:val="0"/>
          <w:i w:val="0"/>
          <w:color w:val="0F172A"/>
          <w:sz w:val="20"/>
        </w:rPr>
        <w:t>Día 1 sí o sí, no negociable.</w:t>
      </w:r>
    </w:p>
    <w:p/>
    <w:p>
      <w:r>
        <w:rPr>
          <w:rFonts w:ascii="Consolas" w:hAnsi="Consolas"/>
          <w:b/>
          <w:i w:val="0"/>
          <w:color w:val="1B4486"/>
          <w:sz w:val="18"/>
        </w:rPr>
        <w:t>ERROR 02</w:t>
      </w:r>
    </w:p>
    <w:p>
      <w:r>
        <w:rPr>
          <w:rFonts w:ascii="Georgia" w:hAnsi="Georgia"/>
          <w:b/>
          <w:i w:val="0"/>
          <w:color w:val="0F172A"/>
          <w:sz w:val="26"/>
        </w:rPr>
        <w:t>Aceptar entradas tardías</w:t>
      </w:r>
    </w:p>
    <w:p>
      <w:r>
        <w:rPr>
          <w:rFonts w:ascii="Arial" w:hAnsi="Arial"/>
          <w:b w:val="0"/>
          <w:i w:val="0"/>
          <w:color w:val="0F172A"/>
          <w:sz w:val="20"/>
        </w:rPr>
        <w:t>El contador 'agrega rápido' una factura del 28 cuando estás en día 7. El cierre se mueve, todos los cálculos posteriores se desfasan.</w:t>
      </w:r>
    </w:p>
    <w:p>
      <w:r>
        <w:rPr>
          <w:rFonts w:ascii="Arial" w:hAnsi="Arial"/>
          <w:b/>
          <w:i/>
          <w:color w:val="C04A2E"/>
          <w:sz w:val="20"/>
        </w:rPr>
        <w:t xml:space="preserve">Fix: </w:t>
      </w:r>
      <w:r>
        <w:rPr>
          <w:rFonts w:ascii="Arial" w:hAnsi="Arial"/>
          <w:b w:val="0"/>
          <w:i w:val="0"/>
          <w:color w:val="0F172A"/>
          <w:sz w:val="20"/>
        </w:rPr>
        <w:t>Hard cut-off en día 1. JE de ajuste, sí; entradas con fecha pasada, no.</w:t>
      </w:r>
    </w:p>
    <w:p/>
    <w:p>
      <w:r>
        <w:rPr>
          <w:rFonts w:ascii="Consolas" w:hAnsi="Consolas"/>
          <w:b/>
          <w:i w:val="0"/>
          <w:color w:val="1B4486"/>
          <w:sz w:val="18"/>
        </w:rPr>
        <w:t>ERROR 03</w:t>
      </w:r>
    </w:p>
    <w:p>
      <w:r>
        <w:rPr>
          <w:rFonts w:ascii="Georgia" w:hAnsi="Georgia"/>
          <w:b/>
          <w:i w:val="0"/>
          <w:color w:val="0F172A"/>
          <w:sz w:val="26"/>
        </w:rPr>
        <w:t>FX revaluation con FIX del día equivocado</w:t>
      </w:r>
    </w:p>
    <w:p>
      <w:r>
        <w:rPr>
          <w:rFonts w:ascii="Arial" w:hAnsi="Arial"/>
          <w:b w:val="0"/>
          <w:i w:val="0"/>
          <w:color w:val="0F172A"/>
          <w:sz w:val="20"/>
        </w:rPr>
        <w:t>Banxico publica FIX el último día hábil del mes. Si usás el del día 1 del siguiente mes, el saldo MXN equivalente está mal.</w:t>
      </w:r>
    </w:p>
    <w:p>
      <w:r>
        <w:rPr>
          <w:rFonts w:ascii="Arial" w:hAnsi="Arial"/>
          <w:b/>
          <w:i/>
          <w:color w:val="C04A2E"/>
          <w:sz w:val="20"/>
        </w:rPr>
        <w:t xml:space="preserve">Fix: </w:t>
      </w:r>
      <w:r>
        <w:rPr>
          <w:rFonts w:ascii="Arial" w:hAnsi="Arial"/>
          <w:b w:val="0"/>
          <w:i w:val="0"/>
          <w:color w:val="0F172A"/>
          <w:sz w:val="20"/>
        </w:rPr>
        <w:t>Día 5: FIX del último día hábil del mes que cerrás.</w:t>
      </w:r>
    </w:p>
    <w:p/>
    <w:p>
      <w:r>
        <w:rPr>
          <w:rFonts w:ascii="Consolas" w:hAnsi="Consolas"/>
          <w:b/>
          <w:i w:val="0"/>
          <w:color w:val="1B4486"/>
          <w:sz w:val="18"/>
        </w:rPr>
        <w:t>ERROR 04</w:t>
      </w:r>
    </w:p>
    <w:p>
      <w:r>
        <w:rPr>
          <w:rFonts w:ascii="Georgia" w:hAnsi="Georgia"/>
          <w:b/>
          <w:i w:val="0"/>
          <w:color w:val="0F172A"/>
          <w:sz w:val="26"/>
        </w:rPr>
        <w:t>Provisión incobrables sin política</w:t>
      </w:r>
    </w:p>
    <w:p>
      <w:r>
        <w:rPr>
          <w:rFonts w:ascii="Arial" w:hAnsi="Arial"/>
          <w:b w:val="0"/>
          <w:i w:val="0"/>
          <w:color w:val="0F172A"/>
          <w:sz w:val="20"/>
        </w:rPr>
        <w:t>Cada mes deciden ad-hoc. Mes con buen ánimo: 30%. Mes con mal ánimo: 80%. Resultado: P&amp;L volátil sin razón real.</w:t>
      </w:r>
    </w:p>
    <w:p>
      <w:r>
        <w:rPr>
          <w:rFonts w:ascii="Arial" w:hAnsi="Arial"/>
          <w:b/>
          <w:i/>
          <w:color w:val="C04A2E"/>
          <w:sz w:val="20"/>
        </w:rPr>
        <w:t xml:space="preserve">Fix: </w:t>
      </w:r>
      <w:r>
        <w:rPr>
          <w:rFonts w:ascii="Arial" w:hAnsi="Arial"/>
          <w:b w:val="0"/>
          <w:i w:val="0"/>
          <w:color w:val="0F172A"/>
          <w:sz w:val="20"/>
        </w:rPr>
        <w:t>Política documentada (ej: 50% &gt; 90d, 100% &gt; 180d). Cumplila siempre.</w:t>
      </w:r>
    </w:p>
    <w:p/>
    <w:p>
      <w:r>
        <w:rPr>
          <w:rFonts w:ascii="Consolas" w:hAnsi="Consolas"/>
          <w:b/>
          <w:i w:val="0"/>
          <w:color w:val="1B4486"/>
          <w:sz w:val="18"/>
        </w:rPr>
        <w:t>ERROR 05</w:t>
      </w:r>
    </w:p>
    <w:p>
      <w:r>
        <w:rPr>
          <w:rFonts w:ascii="Georgia" w:hAnsi="Georgia"/>
          <w:b/>
          <w:i w:val="0"/>
          <w:color w:val="0F172A"/>
          <w:sz w:val="26"/>
        </w:rPr>
        <w:t>Ignorar IC sin settle</w:t>
      </w:r>
    </w:p>
    <w:p>
      <w:r>
        <w:rPr>
          <w:rFonts w:ascii="Arial" w:hAnsi="Arial"/>
          <w:b w:val="0"/>
          <w:i w:val="0"/>
          <w:color w:val="0F172A"/>
          <w:sz w:val="20"/>
        </w:rPr>
        <w:t>Saldos IC viejos se acumulan, distorsionan métricas de entidades individuales.</w:t>
      </w:r>
    </w:p>
    <w:p>
      <w:r>
        <w:rPr>
          <w:rFonts w:ascii="Arial" w:hAnsi="Arial"/>
          <w:b/>
          <w:i/>
          <w:color w:val="C04A2E"/>
          <w:sz w:val="20"/>
        </w:rPr>
        <w:t xml:space="preserve">Fix: </w:t>
      </w:r>
      <w:r>
        <w:rPr>
          <w:rFonts w:ascii="Arial" w:hAnsi="Arial"/>
          <w:b w:val="0"/>
          <w:i w:val="0"/>
          <w:color w:val="0F172A"/>
          <w:sz w:val="20"/>
        </w:rPr>
        <w:t>Settlement de IC &gt; 60 días en día 5. Sin excepciones.</w:t>
      </w:r>
    </w:p>
    <w:p/>
    <w:p>
      <w:r>
        <w:rPr>
          <w:rFonts w:ascii="Consolas" w:hAnsi="Consolas"/>
          <w:b/>
          <w:i w:val="0"/>
          <w:color w:val="1B4486"/>
          <w:sz w:val="18"/>
        </w:rPr>
        <w:t>ERROR 06</w:t>
      </w:r>
    </w:p>
    <w:p>
      <w:r>
        <w:rPr>
          <w:rFonts w:ascii="Georgia" w:hAnsi="Georgia"/>
          <w:b/>
          <w:i w:val="0"/>
          <w:color w:val="0F172A"/>
          <w:sz w:val="26"/>
        </w:rPr>
        <w:t>EEFF al CFO sin variances explicados</w:t>
      </w:r>
    </w:p>
    <w:p>
      <w:r>
        <w:rPr>
          <w:rFonts w:ascii="Arial" w:hAnsi="Arial"/>
          <w:b w:val="0"/>
          <w:i w:val="0"/>
          <w:color w:val="0F172A"/>
          <w:sz w:val="20"/>
        </w:rPr>
        <w:t>El CFO recibe el draft y la mitad del review es identificar 'por qué subió X?' Pierde 1 día.</w:t>
      </w:r>
    </w:p>
    <w:p>
      <w:r>
        <w:rPr>
          <w:rFonts w:ascii="Arial" w:hAnsi="Arial"/>
          <w:b/>
          <w:i/>
          <w:color w:val="C04A2E"/>
          <w:sz w:val="20"/>
        </w:rPr>
        <w:t xml:space="preserve">Fix: </w:t>
      </w:r>
      <w:r>
        <w:rPr>
          <w:rFonts w:ascii="Arial" w:hAnsi="Arial"/>
          <w:b w:val="0"/>
          <w:i w:val="0"/>
          <w:color w:val="0F172A"/>
          <w:sz w:val="20"/>
        </w:rPr>
        <w:t>Análisis vertical/horizontal con narrative pre-armado en día 7.</w:t>
      </w:r>
    </w:p>
    <w:p/>
    <w:p>
      <w:r>
        <w:rPr>
          <w:rFonts w:ascii="Consolas" w:hAnsi="Consolas"/>
          <w:b/>
          <w:i w:val="0"/>
          <w:color w:val="1B4486"/>
          <w:sz w:val="18"/>
        </w:rPr>
        <w:t>ERROR 07</w:t>
      </w:r>
    </w:p>
    <w:p>
      <w:r>
        <w:rPr>
          <w:rFonts w:ascii="Georgia" w:hAnsi="Georgia"/>
          <w:b/>
          <w:i w:val="0"/>
          <w:color w:val="0F172A"/>
          <w:sz w:val="26"/>
        </w:rPr>
        <w:t>DIOT atrasada</w:t>
      </w:r>
    </w:p>
    <w:p>
      <w:r>
        <w:rPr>
          <w:rFonts w:ascii="Arial" w:hAnsi="Arial"/>
          <w:b w:val="0"/>
          <w:i w:val="0"/>
          <w:color w:val="0F172A"/>
          <w:sz w:val="20"/>
        </w:rPr>
        <w:t>Multa $5K-$20K MXN cada vez. Y a veces el SAT bloquea CFDIs nuevos hasta resolver.</w:t>
      </w:r>
    </w:p>
    <w:p>
      <w:r>
        <w:rPr>
          <w:rFonts w:ascii="Arial" w:hAnsi="Arial"/>
          <w:b/>
          <w:i/>
          <w:color w:val="C04A2E"/>
          <w:sz w:val="20"/>
        </w:rPr>
        <w:t xml:space="preserve">Fix: </w:t>
      </w:r>
      <w:r>
        <w:rPr>
          <w:rFonts w:ascii="Arial" w:hAnsi="Arial"/>
          <w:b w:val="0"/>
          <w:i w:val="0"/>
          <w:color w:val="0F172A"/>
          <w:sz w:val="20"/>
        </w:rPr>
        <w:t>Día 9 o antes. Plug en el calendario, no negocia.</w:t>
      </w:r>
    </w:p>
    <w:p/>
    <w:p>
      <w:r>
        <w:rPr>
          <w:rFonts w:ascii="Consolas" w:hAnsi="Consolas"/>
          <w:b/>
          <w:i w:val="0"/>
          <w:color w:val="1B4486"/>
          <w:sz w:val="18"/>
        </w:rPr>
        <w:t>ERROR 08</w:t>
      </w:r>
    </w:p>
    <w:p>
      <w:r>
        <w:rPr>
          <w:rFonts w:ascii="Georgia" w:hAnsi="Georgia"/>
          <w:b/>
          <w:i w:val="0"/>
          <w:color w:val="0F172A"/>
          <w:sz w:val="26"/>
        </w:rPr>
        <w:t>Sin lecciones aprendidas</w:t>
      </w:r>
    </w:p>
    <w:p>
      <w:r>
        <w:rPr>
          <w:rFonts w:ascii="Arial" w:hAnsi="Arial"/>
          <w:b w:val="0"/>
          <w:i w:val="0"/>
          <w:color w:val="0F172A"/>
          <w:sz w:val="20"/>
        </w:rPr>
        <w:t>El mismo error se repite cada mes. T+12 nunca baja a T+8.</w:t>
      </w:r>
    </w:p>
    <w:p>
      <w:r>
        <w:rPr>
          <w:rFonts w:ascii="Arial" w:hAnsi="Arial"/>
          <w:b/>
          <w:i/>
          <w:color w:val="C04A2E"/>
          <w:sz w:val="20"/>
        </w:rPr>
        <w:t xml:space="preserve">Fix: </w:t>
      </w:r>
      <w:r>
        <w:rPr>
          <w:rFonts w:ascii="Arial" w:hAnsi="Arial"/>
          <w:b w:val="0"/>
          <w:i w:val="0"/>
          <w:color w:val="0F172A"/>
          <w:sz w:val="20"/>
        </w:rPr>
        <w:t>30 min de retro al final. Lo que se decidió mejorar entra en el checklist v2.</w:t>
      </w:r>
    </w:p>
    <w:p/>
    <w:p>
      <w:r>
        <w:br w:type="page"/>
      </w:r>
    </w:p>
    <w:p>
      <w:r>
        <w:rPr>
          <w:rFonts w:ascii="Consolas" w:hAnsi="Consolas"/>
          <w:b/>
          <w:i w:val="0"/>
          <w:color w:val="1B4486"/>
          <w:sz w:val="18"/>
        </w:rPr>
        <w:t>SIGN-OFF DEL CIERRE</w:t>
      </w:r>
    </w:p>
    <w:p>
      <w:r>
        <w:rPr>
          <w:rFonts w:ascii="Georgia" w:hAnsi="Georgia"/>
          <w:b/>
          <w:i w:val="0"/>
          <w:color w:val="0F172A"/>
          <w:sz w:val="44"/>
        </w:rPr>
        <w:t>Firmas requeridas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/>
            <w:r>
              <w:rPr>
                <w:rFonts w:ascii="Georgia" w:hAnsi="Georgia"/>
                <w:b/>
                <w:i w:val="0"/>
                <w:color w:val="0F172A"/>
                <w:sz w:val="24"/>
              </w:rPr>
              <w:t>Contador General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Cerró libro diario · reconciliaciones · SAT</w:t>
            </w:r>
          </w:p>
        </w:tc>
        <w:tc>
          <w:tcPr>
            <w:tcW w:type="dxa" w:w="5112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Firma: __________________________  Fecha: ____________</w:t>
            </w:r>
          </w:p>
        </w:tc>
      </w:tr>
      <w:tr>
        <w:tc>
          <w:tcPr>
            <w:tcW w:type="dxa" w:w="5112"/>
          </w:tcPr>
          <w:p>
            <w:r/>
            <w:r>
              <w:rPr>
                <w:rFonts w:ascii="Georgia" w:hAnsi="Georgia"/>
                <w:b/>
                <w:i w:val="0"/>
                <w:color w:val="0F172A"/>
                <w:sz w:val="24"/>
              </w:rPr>
              <w:t>Controller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EEFF preliminares · journal entries · GL review</w:t>
            </w:r>
          </w:p>
        </w:tc>
        <w:tc>
          <w:tcPr>
            <w:tcW w:type="dxa" w:w="5112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Firma: __________________________  Fecha: ____________</w:t>
            </w:r>
          </w:p>
        </w:tc>
      </w:tr>
      <w:tr>
        <w:tc>
          <w:tcPr>
            <w:tcW w:type="dxa" w:w="5112"/>
          </w:tcPr>
          <w:p>
            <w:r/>
            <w:r>
              <w:rPr>
                <w:rFonts w:ascii="Georgia" w:hAnsi="Georgia"/>
                <w:b/>
                <w:i w:val="0"/>
                <w:color w:val="0F172A"/>
                <w:sz w:val="24"/>
              </w:rPr>
              <w:t>FP&amp;A Lead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Análisis variances · forecast vs actual · board deck</w:t>
            </w:r>
          </w:p>
        </w:tc>
        <w:tc>
          <w:tcPr>
            <w:tcW w:type="dxa" w:w="5112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Firma: __________________________  Fecha: ____________</w:t>
            </w:r>
          </w:p>
        </w:tc>
      </w:tr>
      <w:tr>
        <w:tc>
          <w:tcPr>
            <w:tcW w:type="dxa" w:w="5112"/>
          </w:tcPr>
          <w:p>
            <w:r/>
            <w:r>
              <w:rPr>
                <w:rFonts w:ascii="Georgia" w:hAnsi="Georgia"/>
                <w:b/>
                <w:i w:val="0"/>
                <w:color w:val="0F172A"/>
                <w:sz w:val="24"/>
              </w:rPr>
              <w:t>CFO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6B7280"/>
                <w:sz w:val="18"/>
              </w:rPr>
              <w:t>Aprobación final EEFF · sign-off mensual</w:t>
            </w:r>
          </w:p>
        </w:tc>
        <w:tc>
          <w:tcPr>
            <w:tcW w:type="dxa" w:w="5112"/>
          </w:tcPr>
          <w:p>
            <w:r/>
            <w:r>
              <w:rPr>
                <w:rFonts w:ascii="Arial" w:hAnsi="Arial"/>
                <w:b w:val="0"/>
                <w:i w:val="0"/>
                <w:color w:val="0F172A"/>
                <w:sz w:val="20"/>
              </w:rPr>
              <w:t>Firma: __________________________  Fecha: ____________</w:t>
            </w:r>
          </w:p>
        </w:tc>
      </w:tr>
    </w:tbl>
    <w:p/>
    <w:p>
      <w:r>
        <w:rPr>
          <w:rFonts w:ascii="Arial" w:hAnsi="Arial"/>
          <w:b w:val="0"/>
          <w:i/>
          <w:color w:val="6B7280"/>
          <w:sz w:val="16"/>
        </w:rPr>
        <w:t>De carácter editorial e informativo. No sustituye asesoría financiera, contable, fiscal ni legal. Adaptá esta plantilla a las políticas internas de tu empresa.</w:t>
      </w:r>
    </w:p>
    <w:p/>
    <w:p>
      <w:pPr>
        <w:jc w:val="center"/>
      </w:pPr>
      <w:r>
        <w:rPr>
          <w:rFonts w:ascii="Consolas" w:hAnsi="Consolas"/>
          <w:b w:val="0"/>
          <w:i w:val="0"/>
          <w:color w:val="6B7280"/>
          <w:sz w:val="16"/>
        </w:rPr>
        <w:t>cfoexponencial.com · El Equipo CFOˣ · v2.0 · Mayo 2026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